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BBE" w:rsidRDefault="00F42BBE" w:rsidP="00F42BBE">
      <w:pPr>
        <w:jc w:val="center"/>
        <w:rPr>
          <w:lang w:val="en-US"/>
        </w:rPr>
      </w:pPr>
    </w:p>
    <w:p w:rsidR="00F42BBE" w:rsidRDefault="00F42BBE" w:rsidP="00F42BBE">
      <w:pPr>
        <w:jc w:val="center"/>
        <w:rPr>
          <w:lang w:val="en-US"/>
        </w:rPr>
      </w:pPr>
    </w:p>
    <w:p w:rsidR="00F42BBE" w:rsidRDefault="00F42BBE" w:rsidP="00F42BBE">
      <w:pPr>
        <w:jc w:val="center"/>
        <w:rPr>
          <w:lang w:val="en-US"/>
        </w:rPr>
      </w:pPr>
    </w:p>
    <w:p w:rsidR="00F42BBE" w:rsidRDefault="00F42BBE" w:rsidP="00F42BBE">
      <w:pPr>
        <w:jc w:val="center"/>
        <w:rPr>
          <w:lang w:val="en-US"/>
        </w:rPr>
      </w:pPr>
    </w:p>
    <w:p w:rsidR="00F42BBE" w:rsidRDefault="00F42BBE" w:rsidP="00F42BBE">
      <w:pPr>
        <w:jc w:val="center"/>
        <w:rPr>
          <w:lang w:val="en-US"/>
        </w:rPr>
      </w:pPr>
    </w:p>
    <w:p w:rsidR="00191053" w:rsidRDefault="00191053" w:rsidP="00F42BBE">
      <w:pPr>
        <w:jc w:val="center"/>
        <w:rPr>
          <w:lang w:val="en-US"/>
        </w:rPr>
      </w:pPr>
    </w:p>
    <w:p w:rsidR="00191053" w:rsidRDefault="00191053" w:rsidP="00F42BBE">
      <w:pPr>
        <w:jc w:val="center"/>
        <w:rPr>
          <w:lang w:val="en-US"/>
        </w:rPr>
      </w:pPr>
    </w:p>
    <w:p w:rsidR="00191053" w:rsidRDefault="00191053" w:rsidP="00F42BBE">
      <w:pPr>
        <w:jc w:val="center"/>
        <w:rPr>
          <w:lang w:val="en-US"/>
        </w:rPr>
      </w:pPr>
    </w:p>
    <w:p w:rsidR="00191053" w:rsidRDefault="00191053" w:rsidP="00F42BBE">
      <w:pPr>
        <w:jc w:val="center"/>
        <w:rPr>
          <w:lang w:val="en-US"/>
        </w:rPr>
      </w:pPr>
    </w:p>
    <w:p w:rsidR="00F42BBE" w:rsidRDefault="008E728F" w:rsidP="00F42BBE">
      <w:pPr>
        <w:jc w:val="center"/>
        <w:rPr>
          <w:lang w:val="en-US"/>
        </w:rPr>
      </w:pPr>
      <w:r>
        <w:rPr>
          <w:lang w:val="en-US"/>
        </w:rPr>
        <w:t>Name:</w:t>
      </w:r>
    </w:p>
    <w:p w:rsidR="00F42BBE" w:rsidRDefault="008E728F" w:rsidP="00F42BBE">
      <w:pPr>
        <w:jc w:val="center"/>
        <w:rPr>
          <w:lang w:val="en-US"/>
        </w:rPr>
      </w:pPr>
      <w:r>
        <w:rPr>
          <w:lang w:val="en-US"/>
        </w:rPr>
        <w:t>Institution:</w:t>
      </w:r>
    </w:p>
    <w:p w:rsidR="00F42BBE" w:rsidRDefault="008E728F" w:rsidP="00F42BBE">
      <w:pPr>
        <w:jc w:val="center"/>
        <w:rPr>
          <w:lang w:val="en-US"/>
        </w:rPr>
      </w:pPr>
      <w:r>
        <w:rPr>
          <w:lang w:val="en-US"/>
        </w:rPr>
        <w:t>Course:</w:t>
      </w:r>
    </w:p>
    <w:p w:rsidR="00F42BBE" w:rsidRDefault="008E728F" w:rsidP="00F42BBE">
      <w:pPr>
        <w:jc w:val="center"/>
        <w:rPr>
          <w:lang w:val="en-US"/>
        </w:rPr>
      </w:pPr>
      <w:r>
        <w:rPr>
          <w:lang w:val="en-US"/>
        </w:rPr>
        <w:t>Date:</w:t>
      </w:r>
    </w:p>
    <w:p w:rsidR="00F42BBE" w:rsidRDefault="008E728F">
      <w:pPr>
        <w:rPr>
          <w:lang w:val="en-US"/>
        </w:rPr>
      </w:pPr>
      <w:r>
        <w:rPr>
          <w:lang w:val="en-US"/>
        </w:rPr>
        <w:br w:type="page"/>
      </w:r>
    </w:p>
    <w:p w:rsidR="008E728F" w:rsidRDefault="008E728F" w:rsidP="008E728F">
      <w:pPr>
        <w:rPr>
          <w:lang w:val="en-US"/>
        </w:rPr>
      </w:pPr>
      <w:r>
        <w:rPr>
          <w:lang w:val="en-US"/>
        </w:rPr>
        <w:lastRenderedPageBreak/>
        <w:t>Part 1</w:t>
      </w:r>
    </w:p>
    <w:p w:rsidR="00F42BBE" w:rsidRDefault="008E728F" w:rsidP="003541A9">
      <w:pPr>
        <w:ind w:firstLine="720"/>
        <w:rPr>
          <w:lang w:val="en-US"/>
        </w:rPr>
      </w:pPr>
      <w:r>
        <w:rPr>
          <w:lang w:val="en-US"/>
        </w:rPr>
        <w:t>A</w:t>
      </w:r>
      <w:r w:rsidR="003541A9">
        <w:rPr>
          <w:lang w:val="en-US"/>
        </w:rPr>
        <w:t>ging is one of the life stages</w:t>
      </w:r>
      <w:r>
        <w:rPr>
          <w:lang w:val="en-US"/>
        </w:rPr>
        <w:t xml:space="preserve"> associa</w:t>
      </w:r>
      <w:r w:rsidR="00982DAA">
        <w:rPr>
          <w:lang w:val="en-US"/>
        </w:rPr>
        <w:t>ted with reduced functionality</w:t>
      </w:r>
      <w:r>
        <w:rPr>
          <w:lang w:val="en-US"/>
        </w:rPr>
        <w:t xml:space="preserve"> and </w:t>
      </w:r>
      <w:r w:rsidR="00887E9B">
        <w:rPr>
          <w:lang w:val="en-US"/>
        </w:rPr>
        <w:t>dependence</w:t>
      </w:r>
      <w:r>
        <w:rPr>
          <w:lang w:val="en-US"/>
        </w:rPr>
        <w:t>. It is right to say the elderly have completely lost the ability to make informed decisions a</w:t>
      </w:r>
      <w:r w:rsidR="003541A9">
        <w:rPr>
          <w:lang w:val="en-US"/>
        </w:rPr>
        <w:t xml:space="preserve">nd often rely on the </w:t>
      </w:r>
      <w:r>
        <w:rPr>
          <w:lang w:val="en-US"/>
        </w:rPr>
        <w:t xml:space="preserve">help of caregivers. Their ability to work </w:t>
      </w:r>
      <w:r w:rsidR="003541A9">
        <w:rPr>
          <w:lang w:val="en-US"/>
        </w:rPr>
        <w:t>and other physiological functions are</w:t>
      </w:r>
      <w:r>
        <w:rPr>
          <w:lang w:val="en-US"/>
        </w:rPr>
        <w:t xml:space="preserve"> greatly reduced</w:t>
      </w:r>
      <w:r w:rsidR="003541A9">
        <w:rPr>
          <w:lang w:val="en-US"/>
        </w:rPr>
        <w:t>, influencing</w:t>
      </w:r>
      <w:r>
        <w:rPr>
          <w:lang w:val="en-US"/>
        </w:rPr>
        <w:t xml:space="preserve"> their net capital</w:t>
      </w:r>
      <w:r w:rsidR="00982DAA">
        <w:rPr>
          <w:lang w:val="en-US"/>
        </w:rPr>
        <w:t xml:space="preserve">. They are affected physically, socially and economically depending on the areas they reside. The majority of the elderly have lost their close friends </w:t>
      </w:r>
      <w:r w:rsidR="003541A9">
        <w:rPr>
          <w:lang w:val="en-US"/>
        </w:rPr>
        <w:t>affecting their social life, while some cannot maintain the previously formed b</w:t>
      </w:r>
      <w:r w:rsidR="00982DAA">
        <w:rPr>
          <w:lang w:val="en-US"/>
        </w:rPr>
        <w:t>onds. The various theories that address aging include the soc</w:t>
      </w:r>
      <w:r w:rsidR="003536A2">
        <w:rPr>
          <w:lang w:val="en-US"/>
        </w:rPr>
        <w:t xml:space="preserve">iological theory, psychological theory and biological theories, all defining the different changes attributed to aging. </w:t>
      </w:r>
    </w:p>
    <w:p w:rsidR="00191053" w:rsidRDefault="008E728F" w:rsidP="003541A9">
      <w:pPr>
        <w:ind w:firstLine="720"/>
        <w:rPr>
          <w:lang w:val="en-US"/>
        </w:rPr>
      </w:pPr>
      <w:r>
        <w:rPr>
          <w:lang w:val="en-US"/>
        </w:rPr>
        <w:t xml:space="preserve">The process of taking </w:t>
      </w:r>
      <w:r w:rsidR="003541A9">
        <w:rPr>
          <w:lang w:val="en-US"/>
        </w:rPr>
        <w:t>care of the elderly</w:t>
      </w:r>
      <w:r>
        <w:rPr>
          <w:lang w:val="en-US"/>
        </w:rPr>
        <w:t xml:space="preserve"> population is often accompanied by a lot of </w:t>
      </w:r>
      <w:r w:rsidR="000D0D65">
        <w:rPr>
          <w:lang w:val="en-US"/>
        </w:rPr>
        <w:t>s</w:t>
      </w:r>
      <w:r>
        <w:rPr>
          <w:lang w:val="en-US"/>
        </w:rPr>
        <w:t>tress and needs to be addressed to improve the overall life and service delivery by the caregivers. First, the ca</w:t>
      </w:r>
      <w:r w:rsidR="000D0D65">
        <w:rPr>
          <w:lang w:val="en-US"/>
        </w:rPr>
        <w:t>regivers need to seek help by attending seminars on possible ways of handling the aging population. Learning the different steps of aging is critical in understanding the population's needs and meeting them with ease. It is equally important for the members to join a support group where they are encouraged and motivated. Talking about their challenges is a way of relieving stress as the majority crave a person to listen to them and share the positive values of their services.  Lastly, it is important to establish personal health goals and focus on only what you can avoid excessive pressure from the demanding job. The majority of the caregivers are encouraged to work on their weaknesses while improving their str</w:t>
      </w:r>
      <w:r w:rsidR="003541A9">
        <w:rPr>
          <w:lang w:val="en-US"/>
        </w:rPr>
        <w:t xml:space="preserve">engths to reduce stress on </w:t>
      </w:r>
      <w:r w:rsidR="00191053">
        <w:rPr>
          <w:lang w:val="en-US"/>
        </w:rPr>
        <w:t>work.</w:t>
      </w:r>
    </w:p>
    <w:p w:rsidR="000D0D65" w:rsidRDefault="008E728F" w:rsidP="003541A9">
      <w:pPr>
        <w:ind w:firstLine="720"/>
        <w:rPr>
          <w:lang w:val="en-US"/>
        </w:rPr>
      </w:pPr>
      <w:r>
        <w:rPr>
          <w:lang w:val="en-US"/>
        </w:rPr>
        <w:t xml:space="preserve">One of the local programs established to help the elderly is the </w:t>
      </w:r>
      <w:r w:rsidR="003F2CA4">
        <w:rPr>
          <w:lang w:val="en-US"/>
        </w:rPr>
        <w:t xml:space="preserve">national family caregiver support program. It provides grants to the elderly population and information to the caregivers concerning available services to gain access to those services. </w:t>
      </w:r>
    </w:p>
    <w:p w:rsidR="003F2CA4" w:rsidRDefault="008E728F" w:rsidP="003541A9">
      <w:pPr>
        <w:ind w:firstLine="720"/>
        <w:rPr>
          <w:lang w:val="en-US"/>
        </w:rPr>
      </w:pPr>
      <w:r>
        <w:rPr>
          <w:lang w:val="en-US"/>
        </w:rPr>
        <w:lastRenderedPageBreak/>
        <w:t xml:space="preserve">Following </w:t>
      </w:r>
      <w:r w:rsidR="00887E9B">
        <w:rPr>
          <w:lang w:val="en-US"/>
        </w:rPr>
        <w:t>an increase in the</w:t>
      </w:r>
      <w:r>
        <w:rPr>
          <w:lang w:val="en-US"/>
        </w:rPr>
        <w:t xml:space="preserve"> elderly</w:t>
      </w:r>
      <w:r w:rsidR="00887E9B">
        <w:rPr>
          <w:lang w:val="en-US"/>
        </w:rPr>
        <w:t xml:space="preserve"> population,</w:t>
      </w:r>
      <w:r>
        <w:rPr>
          <w:lang w:val="en-US"/>
        </w:rPr>
        <w:t xml:space="preserve"> it is essential to formulate </w:t>
      </w:r>
      <w:r w:rsidR="00887E9B">
        <w:rPr>
          <w:lang w:val="en-US"/>
        </w:rPr>
        <w:t>favorable</w:t>
      </w:r>
      <w:r>
        <w:rPr>
          <w:lang w:val="en-US"/>
        </w:rPr>
        <w:t xml:space="preserve"> po</w:t>
      </w:r>
      <w:r w:rsidR="00887E9B">
        <w:rPr>
          <w:lang w:val="en-US"/>
        </w:rPr>
        <w:t xml:space="preserve">licies to govern their health and better living standards. Education on aging and creating awareness of the elderly is critical to reducing neglect and abuse. Understanding the elderly have lost the ability of fully independent and often require help. They are more often sick and spend lots of money and time in hospitals battling chronic illness, requiring medical insurance to cover their bills. </w:t>
      </w:r>
    </w:p>
    <w:p w:rsidR="003541A9" w:rsidRDefault="003541A9" w:rsidP="003541A9">
      <w:pPr>
        <w:ind w:firstLine="720"/>
        <w:rPr>
          <w:lang w:val="en-US"/>
        </w:rPr>
      </w:pPr>
    </w:p>
    <w:p w:rsidR="000D0D65" w:rsidRDefault="008E728F" w:rsidP="00F42BBE">
      <w:pPr>
        <w:rPr>
          <w:lang w:val="en-US"/>
        </w:rPr>
      </w:pPr>
      <w:r>
        <w:rPr>
          <w:lang w:val="en-US"/>
        </w:rPr>
        <w:t xml:space="preserve">Part 2 </w:t>
      </w:r>
    </w:p>
    <w:p w:rsidR="00073EB3" w:rsidRDefault="008E728F" w:rsidP="00F42BBE">
      <w:pPr>
        <w:rPr>
          <w:lang w:val="en-US"/>
        </w:rPr>
      </w:pPr>
      <w:r>
        <w:rPr>
          <w:lang w:val="en-US"/>
        </w:rPr>
        <w:t xml:space="preserve">Ethical consideration </w:t>
      </w:r>
    </w:p>
    <w:p w:rsidR="000D0D65" w:rsidRDefault="008E728F" w:rsidP="00965623">
      <w:pPr>
        <w:ind w:firstLine="720"/>
        <w:rPr>
          <w:lang w:val="en-US"/>
        </w:rPr>
      </w:pPr>
      <w:r>
        <w:rPr>
          <w:lang w:val="en-US"/>
        </w:rPr>
        <w:t>Ethical considerations are the daily c</w:t>
      </w:r>
      <w:r w:rsidR="00DE3255">
        <w:rPr>
          <w:lang w:val="en-US"/>
        </w:rPr>
        <w:t xml:space="preserve">ode of </w:t>
      </w:r>
      <w:r w:rsidR="004B79ED">
        <w:rPr>
          <w:lang w:val="en-US"/>
        </w:rPr>
        <w:t>conduct that dictates operation and daily procedures</w:t>
      </w:r>
      <w:r>
        <w:rPr>
          <w:lang w:val="en-US"/>
        </w:rPr>
        <w:t>. Different obligations are conside</w:t>
      </w:r>
      <w:r w:rsidR="004B79ED">
        <w:rPr>
          <w:lang w:val="en-US"/>
        </w:rPr>
        <w:t xml:space="preserve">red confidential to the children </w:t>
      </w:r>
      <w:r>
        <w:rPr>
          <w:lang w:val="en-US"/>
        </w:rPr>
        <w:t xml:space="preserve">from their family </w:t>
      </w:r>
      <w:r w:rsidR="004B79ED">
        <w:rPr>
          <w:lang w:val="en-US"/>
        </w:rPr>
        <w:t xml:space="preserve">members </w:t>
      </w:r>
      <w:r>
        <w:rPr>
          <w:lang w:val="en-US"/>
        </w:rPr>
        <w:t xml:space="preserve">and circumstances under which the ethical consideration might be breached.  </w:t>
      </w:r>
      <w:r w:rsidR="004B79ED">
        <w:rPr>
          <w:lang w:val="en-US"/>
        </w:rPr>
        <w:t xml:space="preserve">Children are often in a dilemma from concerns of their issue and more vulnerable to exploitation and misuse. The various ethical considerations governing a child might be slightly different from that of an adult since they can make an informed decision independently as opposed to children. </w:t>
      </w:r>
    </w:p>
    <w:p w:rsidR="004B79ED" w:rsidRDefault="008E728F" w:rsidP="00965623">
      <w:pPr>
        <w:ind w:firstLine="720"/>
        <w:rPr>
          <w:lang w:val="en-US"/>
        </w:rPr>
      </w:pPr>
      <w:r>
        <w:rPr>
          <w:lang w:val="en-US"/>
        </w:rPr>
        <w:t>Upon making home visits, several ethical considerations must be adher</w:t>
      </w:r>
      <w:r w:rsidR="00B07447">
        <w:rPr>
          <w:lang w:val="en-US"/>
        </w:rPr>
        <w:t xml:space="preserve">ed such as maintaining the confidentiality </w:t>
      </w:r>
      <w:r>
        <w:rPr>
          <w:lang w:val="en-US"/>
        </w:rPr>
        <w:t xml:space="preserve">of the patient and seeking their consent before performing any procedure. It is always important to involve the family members in seeking a chaperon when the patient is of the female gender to avoid any lawsuits and improve the patient approach to the treatment. </w:t>
      </w:r>
      <w:r w:rsidR="00B07447">
        <w:rPr>
          <w:lang w:val="en-US"/>
        </w:rPr>
        <w:t xml:space="preserve">To maintain confidentiality, the person vising should seize discussing patient name unless presenting to the manager to obtain trust. The area designed for interaction should be made private </w:t>
      </w:r>
      <w:r w:rsidR="005B23EC">
        <w:rPr>
          <w:lang w:val="en-US"/>
        </w:rPr>
        <w:t xml:space="preserve">and never discuss patient or client details in public. Seeking to share the client's information should be with the consent of the client. The written materials should </w:t>
      </w:r>
      <w:r w:rsidR="005B23EC">
        <w:rPr>
          <w:lang w:val="en-US"/>
        </w:rPr>
        <w:lastRenderedPageBreak/>
        <w:t>be highly safeguarded from destruction and loss to imp</w:t>
      </w:r>
      <w:r w:rsidR="008D7C89">
        <w:rPr>
          <w:lang w:val="en-US"/>
        </w:rPr>
        <w:t>rove client confidentiality (</w:t>
      </w:r>
      <w:r w:rsidR="008D7C89">
        <w:rPr>
          <w:shd w:val="clear" w:color="auto" w:fill="FFFFFF"/>
        </w:rPr>
        <w:t xml:space="preserve">Feeney, 2010). </w:t>
      </w:r>
      <w:r w:rsidR="005B23EC">
        <w:rPr>
          <w:lang w:val="en-US"/>
        </w:rPr>
        <w:t xml:space="preserve"> </w:t>
      </w:r>
    </w:p>
    <w:p w:rsidR="005B23EC" w:rsidRDefault="008E728F" w:rsidP="00965623">
      <w:pPr>
        <w:ind w:firstLine="720"/>
        <w:rPr>
          <w:lang w:val="en-US"/>
        </w:rPr>
      </w:pPr>
      <w:r>
        <w:rPr>
          <w:lang w:val="en-US"/>
        </w:rPr>
        <w:t xml:space="preserve">There is a certain circumstance that warrants an individual to break family confidentiality, such as when requested by the court of law during </w:t>
      </w:r>
      <w:r w:rsidR="004205C0">
        <w:rPr>
          <w:lang w:val="en-US"/>
        </w:rPr>
        <w:t xml:space="preserve">a case and when an individual is preserved to be involved in the act of terrorism, such as has bullet injuries of unknown origin. Equally, when an individual </w:t>
      </w:r>
      <w:r w:rsidR="00881081">
        <w:rPr>
          <w:lang w:val="en-US"/>
        </w:rPr>
        <w:t xml:space="preserve">basing on the clinical presentation, has a </w:t>
      </w:r>
      <w:r w:rsidR="004205C0">
        <w:rPr>
          <w:lang w:val="en-US"/>
        </w:rPr>
        <w:t>disease</w:t>
      </w:r>
      <w:r w:rsidR="00881081">
        <w:rPr>
          <w:lang w:val="en-US"/>
        </w:rPr>
        <w:t xml:space="preserve"> that</w:t>
      </w:r>
      <w:r w:rsidR="004205C0">
        <w:rPr>
          <w:lang w:val="en-US"/>
        </w:rPr>
        <w:t xml:space="preserve"> poses a threat to the society </w:t>
      </w:r>
      <w:r w:rsidR="00881081">
        <w:rPr>
          <w:lang w:val="en-US"/>
        </w:rPr>
        <w:t xml:space="preserve">or nation, </w:t>
      </w:r>
      <w:r w:rsidR="004205C0">
        <w:rPr>
          <w:lang w:val="en-US"/>
        </w:rPr>
        <w:t>su</w:t>
      </w:r>
      <w:r w:rsidR="00881081">
        <w:rPr>
          <w:lang w:val="en-US"/>
        </w:rPr>
        <w:t xml:space="preserve">ch as an infectious disease, their </w:t>
      </w:r>
      <w:r w:rsidR="004205C0">
        <w:rPr>
          <w:lang w:val="en-US"/>
        </w:rPr>
        <w:t xml:space="preserve">confidentiality is breached. </w:t>
      </w:r>
    </w:p>
    <w:p w:rsidR="00881081" w:rsidRDefault="008E728F" w:rsidP="00965623">
      <w:pPr>
        <w:ind w:firstLine="720"/>
        <w:rPr>
          <w:lang w:val="en-US"/>
        </w:rPr>
      </w:pPr>
      <w:r>
        <w:rPr>
          <w:lang w:val="en-US"/>
        </w:rPr>
        <w:t xml:space="preserve">Cross-cultural conflicts can be an ethical issue, especially when the set guidelines are not following society's norms and expectations. The ethics are often formulated based on the community culture and religion, creating a balance—failure to maintain balance influence the ethical process. The possible mitigation process is to identify the challenges in different age groups and formulate the code of conduct that address all issues and acceptable by the community with a wide view of improving life and </w:t>
      </w:r>
      <w:r w:rsidR="008D7C89">
        <w:rPr>
          <w:lang w:val="en-US"/>
        </w:rPr>
        <w:t>sustainability (</w:t>
      </w:r>
      <w:r w:rsidR="008D7C89">
        <w:rPr>
          <w:shd w:val="clear" w:color="auto" w:fill="FFFFFF"/>
        </w:rPr>
        <w:t>Sanchez-Runde, Nardon</w:t>
      </w:r>
      <w:r w:rsidR="00191053">
        <w:rPr>
          <w:shd w:val="clear" w:color="auto" w:fill="FFFFFF"/>
        </w:rPr>
        <w:t>, &amp;</w:t>
      </w:r>
      <w:r w:rsidR="008D7C89">
        <w:rPr>
          <w:shd w:val="clear" w:color="auto" w:fill="FFFFFF"/>
        </w:rPr>
        <w:t xml:space="preserve"> Steers, 2013).</w:t>
      </w:r>
    </w:p>
    <w:p w:rsidR="00F42BBE" w:rsidRDefault="00F42BBE" w:rsidP="00F42BBE">
      <w:pPr>
        <w:jc w:val="center"/>
        <w:rPr>
          <w:lang w:val="en-US"/>
        </w:rPr>
      </w:pPr>
    </w:p>
    <w:p w:rsidR="008D7C89" w:rsidRDefault="008D7C89" w:rsidP="00F42BBE">
      <w:pPr>
        <w:jc w:val="center"/>
        <w:rPr>
          <w:lang w:val="en-US"/>
        </w:rPr>
      </w:pPr>
    </w:p>
    <w:p w:rsidR="008D7C89" w:rsidRDefault="008D7C89" w:rsidP="00F42BBE">
      <w:pPr>
        <w:jc w:val="center"/>
        <w:rPr>
          <w:lang w:val="en-US"/>
        </w:rPr>
      </w:pPr>
    </w:p>
    <w:p w:rsidR="008D7C89" w:rsidRDefault="008D7C89" w:rsidP="00F42BBE">
      <w:pPr>
        <w:jc w:val="center"/>
        <w:rPr>
          <w:lang w:val="en-US"/>
        </w:rPr>
      </w:pPr>
    </w:p>
    <w:p w:rsidR="008D7C89" w:rsidRDefault="008D7C89" w:rsidP="00191053">
      <w:pPr>
        <w:rPr>
          <w:lang w:val="en-US"/>
        </w:rPr>
      </w:pPr>
    </w:p>
    <w:p w:rsidR="00191053" w:rsidRDefault="00191053" w:rsidP="00191053">
      <w:pPr>
        <w:rPr>
          <w:lang w:val="en-US"/>
        </w:rPr>
      </w:pPr>
    </w:p>
    <w:p w:rsidR="008D7C89" w:rsidRDefault="008D7C89" w:rsidP="00F42BBE">
      <w:pPr>
        <w:jc w:val="center"/>
        <w:rPr>
          <w:lang w:val="en-US"/>
        </w:rPr>
      </w:pPr>
    </w:p>
    <w:p w:rsidR="008D7C89" w:rsidRDefault="008D7C89" w:rsidP="00F42BBE">
      <w:pPr>
        <w:jc w:val="center"/>
        <w:rPr>
          <w:lang w:val="en-US"/>
        </w:rPr>
      </w:pPr>
      <w:r>
        <w:rPr>
          <w:lang w:val="en-US"/>
        </w:rPr>
        <w:lastRenderedPageBreak/>
        <w:t xml:space="preserve">References </w:t>
      </w:r>
    </w:p>
    <w:p w:rsidR="008D7C89" w:rsidRDefault="00E51C19" w:rsidP="008D7C89">
      <w:pPr>
        <w:ind w:left="720" w:hanging="720"/>
      </w:pPr>
      <w:r>
        <w:t xml:space="preserve">        BVNB</w:t>
      </w:r>
    </w:p>
    <w:p w:rsidR="00E51C19" w:rsidRDefault="00E51C19" w:rsidP="008D7C89">
      <w:pPr>
        <w:ind w:left="720" w:hanging="720"/>
      </w:pPr>
      <w:r>
        <w:t>]\]</w:t>
      </w:r>
    </w:p>
    <w:p w:rsidR="00E51C19" w:rsidRDefault="00E51C19" w:rsidP="008D7C89">
      <w:pPr>
        <w:ind w:left="720" w:hanging="720"/>
      </w:pPr>
      <w:r>
        <w:t>\]</w:t>
      </w:r>
    </w:p>
    <w:p w:rsidR="00E51C19" w:rsidRDefault="00E51C19" w:rsidP="008D7C89">
      <w:pPr>
        <w:ind w:left="720" w:hanging="720"/>
      </w:pPr>
    </w:p>
    <w:p w:rsidR="00E51C19" w:rsidRPr="008D7C89" w:rsidRDefault="00E51C19" w:rsidP="008D7C89">
      <w:pPr>
        <w:ind w:left="720" w:hanging="720"/>
      </w:pPr>
      <w:r>
        <w:t>Qe2</w:t>
      </w:r>
      <w:bookmarkStart w:id="0" w:name="_GoBack"/>
      <w:bookmarkEnd w:id="0"/>
    </w:p>
    <w:p w:rsidR="008D7C89" w:rsidRDefault="008D7C89" w:rsidP="00C00F07">
      <w:pPr>
        <w:ind w:left="720" w:hanging="720"/>
        <w:rPr>
          <w:shd w:val="clear" w:color="auto" w:fill="FFFFFF"/>
        </w:rPr>
      </w:pPr>
      <w:r>
        <w:rPr>
          <w:shd w:val="clear" w:color="auto" w:fill="FFFFFF"/>
        </w:rPr>
        <w:t>Feeney, S. (2010). Ethics today in early care and education review, reflection, and the future. </w:t>
      </w:r>
      <w:r>
        <w:rPr>
          <w:i/>
          <w:iCs/>
          <w:shd w:val="clear" w:color="auto" w:fill="FFFFFF"/>
        </w:rPr>
        <w:t>YC Young Children</w:t>
      </w:r>
      <w:r>
        <w:rPr>
          <w:shd w:val="clear" w:color="auto" w:fill="FFFFFF"/>
        </w:rPr>
        <w:t>, </w:t>
      </w:r>
      <w:r>
        <w:rPr>
          <w:i/>
          <w:iCs/>
          <w:shd w:val="clear" w:color="auto" w:fill="FFFFFF"/>
        </w:rPr>
        <w:t>65</w:t>
      </w:r>
      <w:r>
        <w:rPr>
          <w:shd w:val="clear" w:color="auto" w:fill="FFFFFF"/>
        </w:rPr>
        <w:t>(2), 72.</w:t>
      </w:r>
    </w:p>
    <w:p w:rsidR="008D7C89" w:rsidRDefault="008D7C89" w:rsidP="00C00F07">
      <w:pPr>
        <w:ind w:left="720" w:hanging="720"/>
        <w:rPr>
          <w:shd w:val="clear" w:color="auto" w:fill="FFFFFF"/>
        </w:rPr>
      </w:pPr>
      <w:r>
        <w:rPr>
          <w:shd w:val="clear" w:color="auto" w:fill="FFFFFF"/>
        </w:rPr>
        <w:t>Sanchez-Runde, C. J., Nardon, L., &amp; Steers, R. M. (2013). The cultural roots of ethical conflicts in global business. </w:t>
      </w:r>
      <w:r>
        <w:rPr>
          <w:i/>
          <w:iCs/>
          <w:shd w:val="clear" w:color="auto" w:fill="FFFFFF"/>
        </w:rPr>
        <w:t>Journal of Business Ethics</w:t>
      </w:r>
      <w:r>
        <w:rPr>
          <w:shd w:val="clear" w:color="auto" w:fill="FFFFFF"/>
        </w:rPr>
        <w:t>, </w:t>
      </w:r>
      <w:r>
        <w:rPr>
          <w:i/>
          <w:iCs/>
          <w:shd w:val="clear" w:color="auto" w:fill="FFFFFF"/>
        </w:rPr>
        <w:t>116</w:t>
      </w:r>
      <w:r>
        <w:rPr>
          <w:shd w:val="clear" w:color="auto" w:fill="FFFFFF"/>
        </w:rPr>
        <w:t>(4), 689-701.</w:t>
      </w:r>
    </w:p>
    <w:p w:rsidR="008D7C89" w:rsidRPr="008D7C89" w:rsidRDefault="008D7C89" w:rsidP="00C00F07">
      <w:pPr>
        <w:tabs>
          <w:tab w:val="left" w:pos="5985"/>
        </w:tabs>
      </w:pPr>
      <w:r>
        <w:tab/>
      </w:r>
    </w:p>
    <w:sectPr w:rsidR="008D7C89" w:rsidRPr="008D7C8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99" w:rsidRDefault="00236F99" w:rsidP="00191053">
      <w:pPr>
        <w:spacing w:after="0" w:line="240" w:lineRule="auto"/>
      </w:pPr>
      <w:r>
        <w:separator/>
      </w:r>
    </w:p>
  </w:endnote>
  <w:endnote w:type="continuationSeparator" w:id="0">
    <w:p w:rsidR="00236F99" w:rsidRDefault="00236F99" w:rsidP="0019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99" w:rsidRDefault="00236F99" w:rsidP="00191053">
      <w:pPr>
        <w:spacing w:after="0" w:line="240" w:lineRule="auto"/>
      </w:pPr>
      <w:r>
        <w:separator/>
      </w:r>
    </w:p>
  </w:footnote>
  <w:footnote w:type="continuationSeparator" w:id="0">
    <w:p w:rsidR="00236F99" w:rsidRDefault="00236F99" w:rsidP="0019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998062"/>
      <w:docPartObj>
        <w:docPartGallery w:val="Page Numbers (Top of Page)"/>
        <w:docPartUnique/>
      </w:docPartObj>
    </w:sdtPr>
    <w:sdtEndPr>
      <w:rPr>
        <w:noProof/>
      </w:rPr>
    </w:sdtEndPr>
    <w:sdtContent>
      <w:p w:rsidR="00191053" w:rsidRDefault="00191053">
        <w:pPr>
          <w:pStyle w:val="Header"/>
          <w:jc w:val="right"/>
        </w:pPr>
        <w:r>
          <w:fldChar w:fldCharType="begin"/>
        </w:r>
        <w:r>
          <w:instrText xml:space="preserve"> PAGE   \* MERGEFORMAT </w:instrText>
        </w:r>
        <w:r>
          <w:fldChar w:fldCharType="separate"/>
        </w:r>
        <w:r w:rsidR="00E51C19">
          <w:rPr>
            <w:noProof/>
          </w:rPr>
          <w:t>5</w:t>
        </w:r>
        <w:r>
          <w:rPr>
            <w:noProof/>
          </w:rPr>
          <w:fldChar w:fldCharType="end"/>
        </w:r>
      </w:p>
    </w:sdtContent>
  </w:sdt>
  <w:p w:rsidR="00191053" w:rsidRDefault="00191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BE"/>
    <w:rsid w:val="00073EB3"/>
    <w:rsid w:val="0008048B"/>
    <w:rsid w:val="000D0D65"/>
    <w:rsid w:val="00191053"/>
    <w:rsid w:val="00236F99"/>
    <w:rsid w:val="003536A2"/>
    <w:rsid w:val="003541A9"/>
    <w:rsid w:val="003F2CA4"/>
    <w:rsid w:val="004205C0"/>
    <w:rsid w:val="004B79ED"/>
    <w:rsid w:val="005B23EC"/>
    <w:rsid w:val="00881081"/>
    <w:rsid w:val="00887E9B"/>
    <w:rsid w:val="008D7C89"/>
    <w:rsid w:val="008E728F"/>
    <w:rsid w:val="00965623"/>
    <w:rsid w:val="00982DAA"/>
    <w:rsid w:val="00B07447"/>
    <w:rsid w:val="00C00F07"/>
    <w:rsid w:val="00DE3255"/>
    <w:rsid w:val="00E51C19"/>
    <w:rsid w:val="00F42BBE"/>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F165"/>
  <w15:chartTrackingRefBased/>
  <w15:docId w15:val="{6035ED29-635D-4B2D-AF90-487288C6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053"/>
  </w:style>
  <w:style w:type="paragraph" w:styleId="Footer">
    <w:name w:val="footer"/>
    <w:basedOn w:val="Normal"/>
    <w:link w:val="FooterChar"/>
    <w:uiPriority w:val="99"/>
    <w:unhideWhenUsed/>
    <w:rsid w:val="00191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KEVOH</cp:lastModifiedBy>
  <cp:revision>6</cp:revision>
  <dcterms:created xsi:type="dcterms:W3CDTF">2021-06-26T14:03:00Z</dcterms:created>
  <dcterms:modified xsi:type="dcterms:W3CDTF">2021-06-26T18:30:00Z</dcterms:modified>
</cp:coreProperties>
</file>